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B1D1D" w14:textId="02F2BDBC" w:rsidR="00035A5B" w:rsidRPr="001A6C98" w:rsidRDefault="00645333" w:rsidP="000C74B8">
      <w:pPr>
        <w:spacing w:line="339" w:lineRule="exact"/>
        <w:jc w:val="center"/>
        <w:rPr>
          <w:rFonts w:hAnsi="ＭＳ ゴシック" w:hint="default"/>
          <w:color w:val="auto"/>
        </w:rPr>
      </w:pPr>
      <w:r w:rsidRPr="001A6C98">
        <w:rPr>
          <w:rFonts w:asciiTheme="majorEastAsia" w:eastAsiaTheme="majorEastAsia" w:hAnsiTheme="majorEastAsia"/>
          <w:noProof/>
          <w:color w:val="auto"/>
          <w:szCs w:val="24"/>
        </w:rPr>
        <mc:AlternateContent>
          <mc:Choice Requires="wps">
            <w:drawing>
              <wp:anchor distT="0" distB="0" distL="114300" distR="114300" simplePos="0" relativeHeight="251659264" behindDoc="0" locked="0" layoutInCell="1" allowOverlap="1" wp14:anchorId="190F924B" wp14:editId="75E74247">
                <wp:simplePos x="0" y="0"/>
                <wp:positionH relativeFrom="column">
                  <wp:posOffset>4738370</wp:posOffset>
                </wp:positionH>
                <wp:positionV relativeFrom="paragraph">
                  <wp:posOffset>-624840</wp:posOffset>
                </wp:positionV>
                <wp:extent cx="1181100" cy="3333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3375"/>
                        </a:xfrm>
                        <a:prstGeom prst="rect">
                          <a:avLst/>
                        </a:prstGeom>
                        <a:noFill/>
                        <a:ln w="9525">
                          <a:noFill/>
                          <a:miter lim="800000"/>
                          <a:headEnd/>
                          <a:tailEnd/>
                        </a:ln>
                      </wps:spPr>
                      <wps:txbx>
                        <w:txbxContent>
                          <w:p w14:paraId="49F66BDD" w14:textId="7FEF7B6E" w:rsidR="00645333" w:rsidRPr="00645333" w:rsidRDefault="00645333" w:rsidP="00645333">
                            <w:pPr>
                              <w:jc w:val="center"/>
                              <w:rPr>
                                <w:rFonts w:hAnsi="ＭＳ ゴシック" w:hint="default"/>
                                <w:sz w:val="24"/>
                                <w:szCs w:val="24"/>
                              </w:rPr>
                            </w:pPr>
                            <w:r w:rsidRPr="00645333">
                              <w:rPr>
                                <w:rFonts w:hAnsi="ＭＳ ゴシック"/>
                                <w:sz w:val="24"/>
                                <w:szCs w:val="24"/>
                              </w:rPr>
                              <w:t>別紙</w:t>
                            </w:r>
                            <w:r w:rsidR="008A7839">
                              <w:rPr>
                                <w:rFonts w:hAnsi="ＭＳ ゴシック"/>
                                <w:sz w:val="24"/>
                                <w:szCs w:val="24"/>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F924B" id="_x0000_t202" coordsize="21600,21600" o:spt="202" path="m,l,21600r21600,l21600,xe">
                <v:stroke joinstyle="miter"/>
                <v:path gradientshapeok="t" o:connecttype="rect"/>
              </v:shapetype>
              <v:shape id="テキスト ボックス 2" o:spid="_x0000_s1026" type="#_x0000_t202" style="position:absolute;left:0;text-align:left;margin-left:373.1pt;margin-top:-49.2pt;width:9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" filled="f" stroked="f">
                <v:textbox>
                  <w:txbxContent>
                    <w:p w14:paraId="49F66BDD" w14:textId="7FEF7B6E" w:rsidR="00645333" w:rsidRPr="00645333" w:rsidRDefault="00645333" w:rsidP="00645333">
                      <w:pPr>
                        <w:jc w:val="center"/>
                        <w:rPr>
                          <w:rFonts w:hAnsi="ＭＳ ゴシック" w:hint="default"/>
                          <w:sz w:val="24"/>
                          <w:szCs w:val="24"/>
                        </w:rPr>
                      </w:pPr>
                      <w:r w:rsidRPr="00645333">
                        <w:rPr>
                          <w:rFonts w:hAnsi="ＭＳ ゴシック"/>
                          <w:sz w:val="24"/>
                          <w:szCs w:val="24"/>
                        </w:rPr>
                        <w:t>別紙</w:t>
                      </w:r>
                      <w:r w:rsidR="008A7839">
                        <w:rPr>
                          <w:rFonts w:hAnsi="ＭＳ ゴシック"/>
                          <w:sz w:val="24"/>
                          <w:szCs w:val="24"/>
                        </w:rPr>
                        <w:t>７</w:t>
                      </w:r>
                    </w:p>
                  </w:txbxContent>
                </v:textbox>
              </v:shape>
            </w:pict>
          </mc:Fallback>
        </mc:AlternateContent>
      </w:r>
      <w:r w:rsidR="00C55414" w:rsidRPr="001A6C98">
        <w:rPr>
          <w:rFonts w:asciiTheme="majorEastAsia" w:eastAsiaTheme="majorEastAsia" w:hAnsiTheme="majorEastAsia"/>
          <w:color w:val="auto"/>
          <w:szCs w:val="28"/>
        </w:rPr>
        <w:t>令和</w:t>
      </w:r>
      <w:r w:rsidR="009F3BA3">
        <w:rPr>
          <w:rFonts w:asciiTheme="majorEastAsia" w:eastAsiaTheme="majorEastAsia" w:hAnsiTheme="majorEastAsia"/>
          <w:color w:val="auto"/>
          <w:szCs w:val="28"/>
        </w:rPr>
        <w:t>６</w:t>
      </w:r>
      <w:r w:rsidR="00C55414" w:rsidRPr="001A6C98">
        <w:rPr>
          <w:rFonts w:asciiTheme="majorEastAsia" w:eastAsiaTheme="majorEastAsia" w:hAnsiTheme="majorEastAsia"/>
          <w:color w:val="auto"/>
          <w:szCs w:val="28"/>
        </w:rPr>
        <w:t>年度</w:t>
      </w:r>
      <w:r w:rsidR="00C0754E" w:rsidRPr="001A6C98">
        <w:rPr>
          <w:rFonts w:hAnsi="ＭＳ ゴシック"/>
          <w:color w:val="auto"/>
        </w:rPr>
        <w:t>「緑の雇用」事業について</w:t>
      </w:r>
    </w:p>
    <w:p w14:paraId="0C47D9EC" w14:textId="4375E912" w:rsidR="00EB1A75" w:rsidRPr="001A6C98" w:rsidRDefault="00C55414" w:rsidP="000D083D">
      <w:pPr>
        <w:spacing w:line="339" w:lineRule="exact"/>
        <w:jc w:val="center"/>
        <w:rPr>
          <w:rFonts w:hAnsi="ＭＳ ゴシック" w:hint="default"/>
          <w:color w:val="auto"/>
          <w:szCs w:val="28"/>
        </w:rPr>
      </w:pPr>
      <w:r w:rsidRPr="001A6C98">
        <w:rPr>
          <w:rFonts w:hAnsi="ＭＳ ゴシック"/>
          <w:color w:val="auto"/>
        </w:rPr>
        <w:t>～見直しのポイント～</w:t>
      </w:r>
    </w:p>
    <w:p w14:paraId="3B7FFC2A" w14:textId="31130824" w:rsidR="00EB1A75" w:rsidRPr="001A6C98" w:rsidRDefault="00C33491" w:rsidP="00EB1A75">
      <w:pPr>
        <w:wordWrap w:val="0"/>
        <w:spacing w:line="339" w:lineRule="exact"/>
        <w:jc w:val="right"/>
        <w:rPr>
          <w:rFonts w:hAnsi="ＭＳ ゴシック" w:hint="default"/>
          <w:color w:val="auto"/>
          <w:szCs w:val="28"/>
        </w:rPr>
      </w:pPr>
      <w:r w:rsidRPr="001A6C98">
        <w:rPr>
          <w:rFonts w:hAnsi="ＭＳ ゴシック"/>
          <w:color w:val="auto"/>
          <w:szCs w:val="28"/>
        </w:rPr>
        <w:t>令和</w:t>
      </w:r>
      <w:r w:rsidR="009F3BA3">
        <w:rPr>
          <w:rFonts w:hAnsi="ＭＳ ゴシック"/>
          <w:color w:val="auto"/>
          <w:szCs w:val="28"/>
        </w:rPr>
        <w:t>６</w:t>
      </w:r>
      <w:r w:rsidR="00EB1A75" w:rsidRPr="001A6C98">
        <w:rPr>
          <w:rFonts w:hAnsi="ＭＳ ゴシック"/>
          <w:color w:val="auto"/>
          <w:szCs w:val="28"/>
        </w:rPr>
        <w:t>年</w:t>
      </w:r>
      <w:r w:rsidR="00E917F2" w:rsidRPr="001A6C98">
        <w:rPr>
          <w:rFonts w:hAnsi="ＭＳ ゴシック"/>
          <w:color w:val="auto"/>
          <w:szCs w:val="28"/>
        </w:rPr>
        <w:t>２</w:t>
      </w:r>
      <w:r w:rsidR="00EB1A75" w:rsidRPr="001A6C98">
        <w:rPr>
          <w:rFonts w:hAnsi="ＭＳ ゴシック"/>
          <w:color w:val="auto"/>
          <w:szCs w:val="28"/>
        </w:rPr>
        <w:t>月</w:t>
      </w:r>
    </w:p>
    <w:p w14:paraId="37F9B166" w14:textId="5743FB21" w:rsidR="00EB1A75" w:rsidRPr="001A6C98" w:rsidRDefault="00EB1A75" w:rsidP="00EB1A75">
      <w:pPr>
        <w:tabs>
          <w:tab w:val="left" w:pos="5085"/>
        </w:tabs>
        <w:ind w:firstLineChars="2000" w:firstLine="4856"/>
        <w:jc w:val="center"/>
        <w:rPr>
          <w:rFonts w:hAnsi="ＭＳ ゴシック" w:hint="default"/>
          <w:color w:val="auto"/>
          <w:sz w:val="24"/>
          <w:szCs w:val="24"/>
        </w:rPr>
      </w:pPr>
      <w:r w:rsidRPr="001A6C98">
        <w:rPr>
          <w:rFonts w:hAnsi="ＭＳ ゴシック"/>
          <w:color w:val="auto"/>
          <w:sz w:val="24"/>
          <w:szCs w:val="24"/>
        </w:rPr>
        <w:t xml:space="preserve">　　　　　　　全国森林組合連合会</w:t>
      </w:r>
    </w:p>
    <w:p w14:paraId="01175D3E" w14:textId="354E3B9F" w:rsidR="00EB1A75" w:rsidRPr="001A6C98" w:rsidRDefault="00EB1A75" w:rsidP="00EB1A75">
      <w:pPr>
        <w:tabs>
          <w:tab w:val="left" w:pos="5085"/>
        </w:tabs>
        <w:ind w:firstLineChars="2000" w:firstLine="4856"/>
        <w:jc w:val="center"/>
        <w:rPr>
          <w:rFonts w:hAnsi="ＭＳ ゴシック" w:hint="default"/>
          <w:color w:val="auto"/>
          <w:sz w:val="24"/>
          <w:szCs w:val="24"/>
        </w:rPr>
      </w:pPr>
      <w:r w:rsidRPr="001A6C98">
        <w:rPr>
          <w:rFonts w:hAnsi="ＭＳ ゴシック"/>
          <w:color w:val="auto"/>
          <w:sz w:val="24"/>
          <w:szCs w:val="24"/>
        </w:rPr>
        <w:t xml:space="preserve">　　　　　　　</w:t>
      </w:r>
      <w:r w:rsidR="001245B6">
        <w:rPr>
          <w:rFonts w:hAnsi="ＭＳ ゴシック"/>
          <w:color w:val="auto"/>
          <w:sz w:val="24"/>
          <w:szCs w:val="24"/>
        </w:rPr>
        <w:t xml:space="preserve">　</w:t>
      </w:r>
      <w:r w:rsidRPr="001A6C98">
        <w:rPr>
          <w:rFonts w:hAnsi="ＭＳ ゴシック"/>
          <w:color w:val="auto"/>
          <w:sz w:val="24"/>
          <w:szCs w:val="24"/>
        </w:rPr>
        <w:t>担い手雇用対策部</w:t>
      </w:r>
    </w:p>
    <w:p w14:paraId="7860B610" w14:textId="5A8A7523" w:rsidR="00EB1A75" w:rsidRPr="009F3BA3" w:rsidRDefault="00EB1A75">
      <w:pPr>
        <w:spacing w:line="339" w:lineRule="exact"/>
        <w:rPr>
          <w:rFonts w:hAnsi="ＭＳ ゴシック" w:hint="default"/>
          <w:color w:val="auto"/>
          <w:sz w:val="24"/>
        </w:rPr>
      </w:pPr>
    </w:p>
    <w:p w14:paraId="33C55778" w14:textId="356598E2" w:rsidR="00035A5B" w:rsidRPr="009F3BA3" w:rsidRDefault="00C0754E" w:rsidP="00AC5B79">
      <w:pPr>
        <w:spacing w:line="339" w:lineRule="exact"/>
        <w:rPr>
          <w:rFonts w:hAnsi="ＭＳ ゴシック" w:hint="default"/>
          <w:color w:val="auto"/>
          <w:sz w:val="24"/>
        </w:rPr>
      </w:pPr>
      <w:r w:rsidRPr="009F3BA3">
        <w:rPr>
          <w:rFonts w:hAnsi="ＭＳ ゴシック"/>
          <w:color w:val="auto"/>
          <w:sz w:val="24"/>
        </w:rPr>
        <w:t xml:space="preserve">　</w:t>
      </w:r>
      <w:r w:rsidR="009C20A1" w:rsidRPr="009F3BA3">
        <w:rPr>
          <w:rFonts w:hAnsi="ＭＳ ゴシック"/>
          <w:color w:val="auto"/>
          <w:sz w:val="24"/>
        </w:rPr>
        <w:t>令和</w:t>
      </w:r>
      <w:r w:rsidR="009F3BA3" w:rsidRPr="009F3BA3">
        <w:rPr>
          <w:rFonts w:hAnsi="ＭＳ ゴシック"/>
          <w:color w:val="auto"/>
          <w:sz w:val="24"/>
        </w:rPr>
        <w:t>６</w:t>
      </w:r>
      <w:r w:rsidR="009C20A1" w:rsidRPr="009F3BA3">
        <w:rPr>
          <w:rFonts w:hAnsi="ＭＳ ゴシック"/>
          <w:color w:val="auto"/>
          <w:sz w:val="24"/>
        </w:rPr>
        <w:t>年度事業の</w:t>
      </w:r>
      <w:r w:rsidR="00A71155" w:rsidRPr="009F3BA3">
        <w:rPr>
          <w:rFonts w:hAnsi="ＭＳ ゴシック"/>
          <w:color w:val="auto"/>
          <w:sz w:val="24"/>
        </w:rPr>
        <w:t>主な見直しポイントは以下のとおりとなりますので、</w:t>
      </w:r>
      <w:r w:rsidRPr="009F3BA3">
        <w:rPr>
          <w:rFonts w:hAnsi="ＭＳ ゴシック"/>
          <w:color w:val="auto"/>
          <w:sz w:val="24"/>
        </w:rPr>
        <w:t>今後とも、安全かつ効率的な林業作業を担う現場技能者の育成に向け、皆様の御理解と御協力をお願いします。</w:t>
      </w:r>
    </w:p>
    <w:p w14:paraId="3F820EAA" w14:textId="3718E1D1" w:rsidR="0080678D" w:rsidRDefault="0080678D">
      <w:pPr>
        <w:spacing w:line="339" w:lineRule="exact"/>
        <w:rPr>
          <w:rFonts w:hAnsi="ＭＳ ゴシック" w:hint="default"/>
          <w:color w:val="auto"/>
        </w:rPr>
      </w:pPr>
    </w:p>
    <w:p w14:paraId="4666632A" w14:textId="496EAC50" w:rsidR="00927EFB" w:rsidRPr="006F1D37" w:rsidRDefault="006F1D37" w:rsidP="006F1D37">
      <w:pPr>
        <w:pStyle w:val="a7"/>
        <w:numPr>
          <w:ilvl w:val="0"/>
          <w:numId w:val="4"/>
        </w:numPr>
        <w:spacing w:line="339" w:lineRule="exact"/>
        <w:ind w:leftChars="0" w:left="426" w:hanging="426"/>
        <w:rPr>
          <w:rFonts w:hAnsi="ＭＳ ゴシック" w:hint="default"/>
          <w:color w:val="auto"/>
        </w:rPr>
      </w:pPr>
      <w:r w:rsidRPr="006F1D37">
        <w:rPr>
          <w:rFonts w:hAnsi="ＭＳ ゴシック"/>
          <w:color w:val="auto"/>
        </w:rPr>
        <w:t>令和６年度事業</w:t>
      </w:r>
      <w:r w:rsidR="00C0754E" w:rsidRPr="006F1D37">
        <w:rPr>
          <w:rFonts w:hAnsi="ＭＳ ゴシック"/>
          <w:color w:val="auto"/>
        </w:rPr>
        <w:t>見直しのポイント</w:t>
      </w:r>
    </w:p>
    <w:p w14:paraId="5292B555" w14:textId="78B00115" w:rsidR="009F3BA3" w:rsidRPr="009F3BA3" w:rsidRDefault="009F3BA3" w:rsidP="009F3BA3">
      <w:pPr>
        <w:spacing w:line="339" w:lineRule="exact"/>
        <w:ind w:firstLineChars="100" w:firstLine="243"/>
        <w:rPr>
          <w:rFonts w:hAnsi="ＭＳ ゴシック" w:hint="default"/>
          <w:color w:val="auto"/>
          <w:sz w:val="24"/>
          <w:szCs w:val="24"/>
        </w:rPr>
      </w:pPr>
      <w:r>
        <w:rPr>
          <w:rFonts w:hAnsi="ＭＳ ゴシック"/>
          <w:color w:val="auto"/>
          <w:sz w:val="24"/>
          <w:szCs w:val="24"/>
        </w:rPr>
        <w:t>（１）</w:t>
      </w:r>
      <w:r w:rsidRPr="009F3BA3">
        <w:rPr>
          <w:rFonts w:hAnsi="ＭＳ ゴシック"/>
          <w:color w:val="auto"/>
          <w:sz w:val="24"/>
          <w:szCs w:val="24"/>
        </w:rPr>
        <w:t>林業経営体の要件の拡充</w:t>
      </w:r>
    </w:p>
    <w:p w14:paraId="61436162" w14:textId="26F754FA" w:rsidR="009F3BA3" w:rsidRPr="009F3BA3" w:rsidRDefault="009F3BA3" w:rsidP="009F3BA3">
      <w:pPr>
        <w:spacing w:line="339" w:lineRule="exact"/>
        <w:ind w:leftChars="200" w:left="566" w:firstLineChars="175" w:firstLine="425"/>
        <w:rPr>
          <w:rFonts w:hAnsi="ＭＳ ゴシック" w:hint="default"/>
          <w:color w:val="auto"/>
          <w:sz w:val="24"/>
          <w:szCs w:val="24"/>
        </w:rPr>
      </w:pPr>
      <w:r w:rsidRPr="009F3BA3">
        <w:rPr>
          <w:rFonts w:hAnsi="ＭＳ ゴシック"/>
          <w:color w:val="auto"/>
          <w:sz w:val="24"/>
          <w:szCs w:val="24"/>
        </w:rPr>
        <w:t>新規就業者の確保・育成対策に係る林業経営体の要件について、令和５年度より造林事業を開始する経営体が拡充されたが、令和６年度（令和５年度補正）より、伐採事業を開始する経営体が拡充対象となる（共に、今後、認定事業主の認定を受ける意思があることが条件）。</w:t>
      </w:r>
    </w:p>
    <w:p w14:paraId="70FBCED4" w14:textId="77777777" w:rsidR="009F3BA3" w:rsidRPr="009F3BA3" w:rsidRDefault="009F3BA3" w:rsidP="009F3BA3">
      <w:pPr>
        <w:spacing w:line="339" w:lineRule="exact"/>
        <w:ind w:firstLineChars="200" w:firstLine="486"/>
        <w:rPr>
          <w:rFonts w:hAnsi="ＭＳ ゴシック" w:hint="default"/>
          <w:color w:val="auto"/>
          <w:sz w:val="24"/>
          <w:szCs w:val="24"/>
        </w:rPr>
      </w:pPr>
      <w:r w:rsidRPr="009F3BA3">
        <w:rPr>
          <w:rFonts w:hAnsi="ＭＳ ゴシック"/>
          <w:color w:val="auto"/>
          <w:sz w:val="24"/>
          <w:szCs w:val="24"/>
        </w:rPr>
        <w:t>【新規追加】</w:t>
      </w:r>
    </w:p>
    <w:p w14:paraId="073AA03E" w14:textId="77777777" w:rsidR="009F3BA3" w:rsidRPr="009F3BA3" w:rsidRDefault="009F3BA3" w:rsidP="009F3BA3">
      <w:pPr>
        <w:spacing w:line="339" w:lineRule="exact"/>
        <w:ind w:leftChars="250" w:left="707" w:firstLineChars="116" w:firstLine="282"/>
        <w:rPr>
          <w:rFonts w:hAnsi="ＭＳ ゴシック" w:hint="default"/>
          <w:color w:val="auto"/>
          <w:sz w:val="24"/>
          <w:szCs w:val="24"/>
        </w:rPr>
      </w:pPr>
      <w:r w:rsidRPr="009F3BA3">
        <w:rPr>
          <w:rFonts w:hAnsi="ＭＳ ゴシック"/>
          <w:color w:val="auto"/>
          <w:sz w:val="24"/>
          <w:szCs w:val="24"/>
        </w:rPr>
        <w:t>認定事業主となる意思を有する林業経営体（新たに伐採事業を開始する者）</w:t>
      </w:r>
    </w:p>
    <w:p w14:paraId="6F221C80" w14:textId="77777777" w:rsidR="009F3BA3" w:rsidRPr="009F3BA3" w:rsidRDefault="009F3BA3" w:rsidP="009F3BA3">
      <w:pPr>
        <w:spacing w:line="339" w:lineRule="exact"/>
        <w:ind w:leftChars="250" w:left="707" w:firstLineChars="116" w:firstLine="282"/>
        <w:rPr>
          <w:rFonts w:hAnsi="ＭＳ ゴシック" w:hint="default"/>
          <w:color w:val="auto"/>
          <w:sz w:val="24"/>
          <w:szCs w:val="24"/>
        </w:rPr>
      </w:pPr>
      <w:r w:rsidRPr="009F3BA3">
        <w:rPr>
          <w:rFonts w:hAnsi="ＭＳ ゴシック"/>
          <w:color w:val="auto"/>
          <w:sz w:val="24"/>
          <w:szCs w:val="24"/>
        </w:rPr>
        <w:t>事業開始の前年度末から起算して３年以内に伐採事業を行う経営体を立ち上げ若しくは</w:t>
      </w:r>
      <w:r w:rsidRPr="009F3BA3">
        <w:rPr>
          <w:rFonts w:hAnsi="ＭＳ ゴシック" w:hint="default"/>
          <w:color w:val="auto"/>
          <w:sz w:val="24"/>
          <w:szCs w:val="24"/>
        </w:rPr>
        <w:t xml:space="preserve"> 既存の経営体で伐採 部門を設置し、ＦＷ研修（１年目）修了後３年以内に認定事業主となる意思を有する林業経営体（下記①～③に掲げる要件を全て満たす者）。</w:t>
      </w:r>
    </w:p>
    <w:p w14:paraId="0AAC3A43" w14:textId="4D01A5FC" w:rsidR="009F3BA3" w:rsidRPr="009F3BA3" w:rsidRDefault="009F3BA3" w:rsidP="009F3BA3">
      <w:pPr>
        <w:spacing w:line="339" w:lineRule="exact"/>
        <w:ind w:leftChars="250" w:left="950" w:hangingChars="100" w:hanging="243"/>
        <w:rPr>
          <w:rFonts w:hAnsi="ＭＳ ゴシック" w:hint="default"/>
          <w:color w:val="auto"/>
          <w:sz w:val="24"/>
          <w:szCs w:val="24"/>
        </w:rPr>
      </w:pPr>
      <w:r w:rsidRPr="009F3BA3">
        <w:rPr>
          <w:rFonts w:hAnsi="ＭＳ ゴシック"/>
          <w:color w:val="auto"/>
          <w:sz w:val="24"/>
          <w:szCs w:val="24"/>
        </w:rPr>
        <w:t>①</w:t>
      </w:r>
      <w:r w:rsidRPr="009F3BA3">
        <w:rPr>
          <w:rFonts w:hAnsi="ＭＳ ゴシック" w:hint="default"/>
          <w:color w:val="auto"/>
          <w:sz w:val="24"/>
          <w:szCs w:val="24"/>
        </w:rPr>
        <w:t xml:space="preserve"> 当該経営体の事業において、スギ花粉発生源対策推進方針（平成13年６</w:t>
      </w:r>
      <w:r>
        <w:rPr>
          <w:rFonts w:hAnsi="ＭＳ ゴシック"/>
          <w:color w:val="auto"/>
          <w:sz w:val="24"/>
          <w:szCs w:val="24"/>
        </w:rPr>
        <w:t xml:space="preserve">　</w:t>
      </w:r>
      <w:r w:rsidRPr="009F3BA3">
        <w:rPr>
          <w:rFonts w:hAnsi="ＭＳ ゴシック" w:hint="default"/>
          <w:color w:val="auto"/>
          <w:sz w:val="24"/>
          <w:szCs w:val="24"/>
        </w:rPr>
        <w:t>月19日付け13林整保第31号林野庁長官通知）に基づき都道府県知事が設定するスギ人工林伐採重点区域の市区町村が過半を占めること</w:t>
      </w:r>
    </w:p>
    <w:p w14:paraId="0C43D537" w14:textId="77777777" w:rsidR="009F3BA3" w:rsidRPr="009F3BA3" w:rsidRDefault="009F3BA3" w:rsidP="009F3BA3">
      <w:pPr>
        <w:spacing w:line="339" w:lineRule="exact"/>
        <w:ind w:leftChars="250" w:left="950" w:hangingChars="100" w:hanging="243"/>
        <w:rPr>
          <w:rFonts w:hAnsi="ＭＳ ゴシック" w:hint="default"/>
          <w:color w:val="auto"/>
          <w:sz w:val="24"/>
          <w:szCs w:val="24"/>
        </w:rPr>
      </w:pPr>
      <w:r w:rsidRPr="009F3BA3">
        <w:rPr>
          <w:rFonts w:hAnsi="ＭＳ ゴシック"/>
          <w:color w:val="auto"/>
          <w:sz w:val="24"/>
          <w:szCs w:val="24"/>
        </w:rPr>
        <w:t>②</w:t>
      </w:r>
      <w:r w:rsidRPr="009F3BA3">
        <w:rPr>
          <w:rFonts w:hAnsi="ＭＳ ゴシック" w:hint="default"/>
          <w:color w:val="auto"/>
          <w:sz w:val="24"/>
          <w:szCs w:val="24"/>
        </w:rPr>
        <w:t xml:space="preserve"> 独立行政法人農林漁業信用基金の林業信用保証を利用したことがある　こと</w:t>
      </w:r>
    </w:p>
    <w:p w14:paraId="21574D4A" w14:textId="77777777" w:rsidR="009F3BA3" w:rsidRPr="009F3BA3" w:rsidRDefault="009F3BA3" w:rsidP="009F3BA3">
      <w:pPr>
        <w:spacing w:line="339" w:lineRule="exact"/>
        <w:ind w:leftChars="250" w:left="950" w:hangingChars="100" w:hanging="243"/>
        <w:rPr>
          <w:rFonts w:hAnsi="ＭＳ ゴシック" w:hint="default"/>
          <w:color w:val="auto"/>
          <w:sz w:val="24"/>
          <w:szCs w:val="24"/>
        </w:rPr>
      </w:pPr>
      <w:r w:rsidRPr="009F3BA3">
        <w:rPr>
          <w:rFonts w:hAnsi="ＭＳ ゴシック"/>
          <w:color w:val="auto"/>
          <w:sz w:val="24"/>
          <w:szCs w:val="24"/>
        </w:rPr>
        <w:t>③</w:t>
      </w:r>
      <w:r w:rsidRPr="009F3BA3">
        <w:rPr>
          <w:rFonts w:hAnsi="ＭＳ ゴシック" w:hint="default"/>
          <w:color w:val="auto"/>
          <w:sz w:val="24"/>
          <w:szCs w:val="24"/>
        </w:rPr>
        <w:t xml:space="preserve"> 造林事業を行っていない場合は、造林を実施する者との協力体制が築かれていること</w:t>
      </w:r>
    </w:p>
    <w:p w14:paraId="2D3CCD1A" w14:textId="77777777" w:rsidR="009F3BA3" w:rsidRPr="009F3BA3" w:rsidRDefault="009F3BA3" w:rsidP="009F3BA3">
      <w:pPr>
        <w:spacing w:line="339" w:lineRule="exact"/>
        <w:rPr>
          <w:rFonts w:hAnsi="ＭＳ ゴシック" w:hint="default"/>
          <w:color w:val="auto"/>
          <w:sz w:val="24"/>
          <w:szCs w:val="24"/>
        </w:rPr>
      </w:pPr>
    </w:p>
    <w:p w14:paraId="442AA1E5" w14:textId="3560E95A" w:rsidR="009F3BA3" w:rsidRPr="009F3BA3" w:rsidRDefault="009F3BA3" w:rsidP="009F3BA3">
      <w:pPr>
        <w:spacing w:line="339" w:lineRule="exact"/>
        <w:ind w:firstLineChars="100" w:firstLine="243"/>
        <w:rPr>
          <w:rFonts w:hAnsi="ＭＳ ゴシック" w:hint="default"/>
          <w:color w:val="auto"/>
          <w:sz w:val="24"/>
          <w:szCs w:val="24"/>
        </w:rPr>
      </w:pPr>
      <w:r>
        <w:rPr>
          <w:rFonts w:hAnsi="ＭＳ ゴシック"/>
          <w:color w:val="auto"/>
          <w:sz w:val="24"/>
          <w:szCs w:val="24"/>
        </w:rPr>
        <w:t>（２）</w:t>
      </w:r>
      <w:r w:rsidRPr="009F3BA3">
        <w:rPr>
          <w:rFonts w:hAnsi="ＭＳ ゴシック"/>
          <w:color w:val="auto"/>
          <w:sz w:val="24"/>
          <w:szCs w:val="24"/>
        </w:rPr>
        <w:t>指導要件</w:t>
      </w:r>
    </w:p>
    <w:p w14:paraId="3291A6C2" w14:textId="77777777" w:rsidR="009F3BA3" w:rsidRPr="009F3BA3" w:rsidRDefault="009F3BA3" w:rsidP="009F3BA3">
      <w:pPr>
        <w:spacing w:line="339" w:lineRule="exact"/>
        <w:ind w:leftChars="200" w:left="566" w:firstLineChars="116" w:firstLine="282"/>
        <w:rPr>
          <w:rFonts w:hAnsi="ＭＳ ゴシック" w:hint="default"/>
          <w:color w:val="auto"/>
          <w:sz w:val="24"/>
          <w:szCs w:val="24"/>
        </w:rPr>
      </w:pPr>
      <w:r w:rsidRPr="009F3BA3">
        <w:rPr>
          <w:rFonts w:hAnsi="ＭＳ ゴシック"/>
          <w:color w:val="auto"/>
          <w:sz w:val="24"/>
          <w:szCs w:val="24"/>
        </w:rPr>
        <w:t>ＯＪＴ指導員は、ＦＬ・ＦＭ修了者に限定する。</w:t>
      </w:r>
    </w:p>
    <w:p w14:paraId="18B72EC8" w14:textId="77777777" w:rsidR="009F3BA3" w:rsidRPr="009F3BA3" w:rsidRDefault="009F3BA3" w:rsidP="009F3BA3">
      <w:pPr>
        <w:spacing w:line="339" w:lineRule="exact"/>
        <w:ind w:leftChars="200" w:left="566" w:firstLineChars="116" w:firstLine="282"/>
        <w:rPr>
          <w:rFonts w:hAnsi="ＭＳ ゴシック" w:hint="default"/>
          <w:color w:val="auto"/>
          <w:sz w:val="24"/>
          <w:szCs w:val="24"/>
        </w:rPr>
      </w:pPr>
      <w:r w:rsidRPr="009F3BA3">
        <w:rPr>
          <w:rFonts w:hAnsi="ＭＳ ゴシック"/>
          <w:color w:val="auto"/>
          <w:sz w:val="24"/>
          <w:szCs w:val="24"/>
        </w:rPr>
        <w:t>ただし、</w:t>
      </w:r>
      <w:r w:rsidRPr="006F1D37">
        <w:rPr>
          <w:rFonts w:hAnsi="ＭＳ ゴシック"/>
          <w:color w:val="auto"/>
          <w:sz w:val="24"/>
          <w:szCs w:val="24"/>
          <w:u w:val="single"/>
        </w:rPr>
        <w:t>新規経営体およびＦＬ・ＦＭ研修を修了した指導員がいない場合に限り、</w:t>
      </w:r>
      <w:r w:rsidRPr="009F3BA3">
        <w:rPr>
          <w:rFonts w:hAnsi="ＭＳ ゴシック"/>
          <w:color w:val="auto"/>
          <w:sz w:val="24"/>
          <w:szCs w:val="24"/>
        </w:rPr>
        <w:t>ＦＬ・ＦＭ研修の当年度受講予定者を修了見込として年度当初から指導員の資格を有すると者として取り扱うことができる（「みなし指導員」という）。ただし、みなし指導員がＦＬ・ＦＭ研修を当年度に修了できなかった場合は、当該指導員が行った研修は無効となり、その分の助成金は支払われない。</w:t>
      </w:r>
    </w:p>
    <w:p w14:paraId="468A5B04" w14:textId="77777777" w:rsidR="009F3BA3" w:rsidRPr="009F3BA3" w:rsidRDefault="009F3BA3" w:rsidP="009F3BA3">
      <w:pPr>
        <w:spacing w:line="339" w:lineRule="exact"/>
        <w:rPr>
          <w:rFonts w:hAnsi="ＭＳ ゴシック" w:hint="default"/>
          <w:color w:val="auto"/>
          <w:sz w:val="24"/>
          <w:szCs w:val="24"/>
        </w:rPr>
      </w:pPr>
    </w:p>
    <w:p w14:paraId="44D2704F" w14:textId="78026230" w:rsidR="009F3BA3" w:rsidRPr="009F3BA3" w:rsidRDefault="009F3BA3" w:rsidP="009F3BA3">
      <w:pPr>
        <w:spacing w:line="339" w:lineRule="exact"/>
        <w:ind w:firstLineChars="100" w:firstLine="243"/>
        <w:rPr>
          <w:rFonts w:hAnsi="ＭＳ ゴシック" w:hint="default"/>
          <w:color w:val="auto"/>
          <w:sz w:val="24"/>
          <w:szCs w:val="24"/>
        </w:rPr>
      </w:pPr>
      <w:r>
        <w:rPr>
          <w:rFonts w:hAnsi="ＭＳ ゴシック"/>
          <w:color w:val="auto"/>
          <w:sz w:val="24"/>
          <w:szCs w:val="24"/>
        </w:rPr>
        <w:t>（３）</w:t>
      </w:r>
      <w:r w:rsidRPr="009F3BA3">
        <w:rPr>
          <w:rFonts w:hAnsi="ＭＳ ゴシック"/>
          <w:color w:val="auto"/>
          <w:sz w:val="24"/>
          <w:szCs w:val="24"/>
        </w:rPr>
        <w:t>労災保険率の改定に伴う助成対象経費（労災保険料）の変更</w:t>
      </w:r>
    </w:p>
    <w:p w14:paraId="582B67F4" w14:textId="77777777" w:rsidR="009F3BA3" w:rsidRPr="009F3BA3" w:rsidRDefault="009F3BA3" w:rsidP="009F3BA3">
      <w:pPr>
        <w:spacing w:line="339" w:lineRule="exact"/>
        <w:ind w:leftChars="200" w:left="566" w:firstLineChars="117" w:firstLine="284"/>
        <w:rPr>
          <w:rFonts w:hAnsi="ＭＳ ゴシック" w:hint="default"/>
          <w:color w:val="auto"/>
          <w:sz w:val="24"/>
          <w:szCs w:val="24"/>
        </w:rPr>
      </w:pPr>
      <w:r w:rsidRPr="009F3BA3">
        <w:rPr>
          <w:rFonts w:hAnsi="ＭＳ ゴシック"/>
          <w:color w:val="auto"/>
          <w:sz w:val="24"/>
          <w:szCs w:val="24"/>
        </w:rPr>
        <w:t>助成対象経費のうち労災保険料率について、技術習得推進費に応じて労災保険料（</w:t>
      </w:r>
      <w:r w:rsidRPr="009F3BA3">
        <w:rPr>
          <w:rFonts w:hAnsi="ＭＳ ゴシック" w:hint="default"/>
          <w:color w:val="auto"/>
          <w:sz w:val="24"/>
          <w:szCs w:val="24"/>
        </w:rPr>
        <w:t>60/1,000）を助成していたが、令和６年４月１日施行の労災保険料率の</w:t>
      </w:r>
      <w:r w:rsidRPr="009F3BA3">
        <w:rPr>
          <w:rFonts w:hAnsi="ＭＳ ゴシック" w:hint="default"/>
          <w:color w:val="auto"/>
          <w:sz w:val="24"/>
          <w:szCs w:val="24"/>
        </w:rPr>
        <w:lastRenderedPageBreak/>
        <w:t>改定に伴い、</w:t>
      </w:r>
      <w:r w:rsidRPr="006F1D37">
        <w:rPr>
          <w:rFonts w:hAnsi="ＭＳ ゴシック" w:hint="default"/>
          <w:color w:val="auto"/>
          <w:sz w:val="24"/>
          <w:szCs w:val="24"/>
          <w:u w:val="single"/>
        </w:rPr>
        <w:t>52/1,000</w:t>
      </w:r>
      <w:r w:rsidRPr="009F3BA3">
        <w:rPr>
          <w:rFonts w:hAnsi="ＭＳ ゴシック" w:hint="default"/>
          <w:color w:val="auto"/>
          <w:sz w:val="24"/>
          <w:szCs w:val="24"/>
        </w:rPr>
        <w:t>へと変更する。</w:t>
      </w:r>
    </w:p>
    <w:p w14:paraId="143FF301" w14:textId="77777777" w:rsidR="009F3BA3" w:rsidRPr="009F3BA3" w:rsidRDefault="009F3BA3" w:rsidP="009F3BA3">
      <w:pPr>
        <w:spacing w:line="339" w:lineRule="exact"/>
        <w:rPr>
          <w:rFonts w:hAnsi="ＭＳ ゴシック" w:hint="default"/>
          <w:color w:val="auto"/>
          <w:sz w:val="24"/>
          <w:szCs w:val="24"/>
        </w:rPr>
      </w:pPr>
      <w:r w:rsidRPr="009F3BA3">
        <w:rPr>
          <w:rFonts w:hAnsi="ＭＳ ゴシック"/>
          <w:color w:val="auto"/>
          <w:sz w:val="24"/>
          <w:szCs w:val="24"/>
        </w:rPr>
        <w:t xml:space="preserve">　　　</w:t>
      </w:r>
    </w:p>
    <w:p w14:paraId="745A2E66" w14:textId="1180B868" w:rsidR="009F3BA3" w:rsidRPr="009F3BA3" w:rsidRDefault="009F3BA3" w:rsidP="009F3BA3">
      <w:pPr>
        <w:spacing w:line="339" w:lineRule="exact"/>
        <w:ind w:firstLineChars="100" w:firstLine="243"/>
        <w:rPr>
          <w:rFonts w:hAnsi="ＭＳ ゴシック" w:hint="default"/>
          <w:color w:val="auto"/>
          <w:sz w:val="24"/>
          <w:szCs w:val="24"/>
        </w:rPr>
      </w:pPr>
      <w:r>
        <w:rPr>
          <w:rFonts w:hAnsi="ＭＳ ゴシック"/>
          <w:color w:val="auto"/>
          <w:sz w:val="24"/>
          <w:szCs w:val="24"/>
        </w:rPr>
        <w:t>（４）</w:t>
      </w:r>
      <w:r w:rsidRPr="009F3BA3">
        <w:rPr>
          <w:rFonts w:hAnsi="ＭＳ ゴシック"/>
          <w:color w:val="auto"/>
          <w:sz w:val="24"/>
          <w:szCs w:val="24"/>
        </w:rPr>
        <w:t>ＦＭ研修の旅費助成の対象の変更</w:t>
      </w:r>
    </w:p>
    <w:p w14:paraId="42B2F25F" w14:textId="77777777" w:rsidR="009F3BA3" w:rsidRPr="009F3BA3" w:rsidRDefault="009F3BA3" w:rsidP="009F3BA3">
      <w:pPr>
        <w:spacing w:line="339" w:lineRule="exact"/>
        <w:ind w:leftChars="250" w:left="707" w:firstLineChars="117" w:firstLine="284"/>
        <w:rPr>
          <w:rFonts w:hAnsi="ＭＳ ゴシック" w:hint="default"/>
          <w:color w:val="auto"/>
          <w:sz w:val="24"/>
          <w:szCs w:val="24"/>
        </w:rPr>
      </w:pPr>
      <w:r w:rsidRPr="009F3BA3">
        <w:rPr>
          <w:rFonts w:hAnsi="ＭＳ ゴシック"/>
          <w:color w:val="auto"/>
          <w:sz w:val="24"/>
          <w:szCs w:val="24"/>
        </w:rPr>
        <w:t>ＦＭ研修の研修生旅費について、</w:t>
      </w:r>
      <w:r w:rsidRPr="006F1D37">
        <w:rPr>
          <w:rFonts w:hAnsi="ＭＳ ゴシック"/>
          <w:color w:val="auto"/>
          <w:sz w:val="24"/>
          <w:szCs w:val="24"/>
          <w:u w:val="single"/>
        </w:rPr>
        <w:t>研修開催県外からの出張にのみ</w:t>
      </w:r>
      <w:r w:rsidRPr="009F3BA3">
        <w:rPr>
          <w:rFonts w:hAnsi="ＭＳ ゴシック"/>
          <w:color w:val="auto"/>
          <w:sz w:val="24"/>
          <w:szCs w:val="24"/>
        </w:rPr>
        <w:t>旅費を助成する（研修を開催する県から参加する研修生の旅費は助成されない）。</w:t>
      </w:r>
    </w:p>
    <w:p w14:paraId="6608EEF7" w14:textId="3C0A4C57" w:rsidR="009F3BA3" w:rsidRDefault="009F3BA3" w:rsidP="009F3BA3">
      <w:pPr>
        <w:spacing w:line="339" w:lineRule="exact"/>
        <w:ind w:leftChars="250" w:left="707" w:firstLineChars="117" w:firstLine="284"/>
        <w:rPr>
          <w:rFonts w:hAnsi="ＭＳ ゴシック" w:hint="default"/>
          <w:color w:val="auto"/>
          <w:sz w:val="24"/>
          <w:szCs w:val="24"/>
        </w:rPr>
      </w:pPr>
      <w:r w:rsidRPr="009F3BA3">
        <w:rPr>
          <w:rFonts w:hAnsi="ＭＳ ゴシック"/>
          <w:color w:val="auto"/>
          <w:sz w:val="24"/>
          <w:szCs w:val="24"/>
        </w:rPr>
        <w:t>旅費とは、日当・宿泊費・交通費のことをいう。</w:t>
      </w:r>
    </w:p>
    <w:p w14:paraId="48F87737" w14:textId="16D1383B" w:rsidR="007E0B63" w:rsidRDefault="007E0B63" w:rsidP="007E0B63">
      <w:pPr>
        <w:spacing w:line="339" w:lineRule="exact"/>
        <w:rPr>
          <w:rFonts w:hAnsi="ＭＳ ゴシック" w:hint="default"/>
          <w:color w:val="auto"/>
          <w:sz w:val="24"/>
          <w:szCs w:val="24"/>
        </w:rPr>
      </w:pPr>
    </w:p>
    <w:p w14:paraId="765DB144" w14:textId="792BBDB0" w:rsidR="007E0B63" w:rsidRPr="007E0B63" w:rsidRDefault="007E0B63" w:rsidP="007E0B63">
      <w:pPr>
        <w:spacing w:line="339" w:lineRule="exact"/>
        <w:ind w:firstLineChars="100" w:firstLine="243"/>
        <w:rPr>
          <w:rFonts w:hAnsi="ＭＳ ゴシック" w:hint="default"/>
          <w:color w:val="auto"/>
          <w:sz w:val="24"/>
          <w:szCs w:val="24"/>
        </w:rPr>
      </w:pPr>
      <w:r>
        <w:rPr>
          <w:rFonts w:hAnsi="ＭＳ ゴシック"/>
          <w:color w:val="auto"/>
          <w:sz w:val="24"/>
          <w:szCs w:val="24"/>
        </w:rPr>
        <w:t>（５</w:t>
      </w:r>
      <w:r w:rsidRPr="007E0B63">
        <w:rPr>
          <w:rFonts w:hAnsi="ＭＳ ゴシック"/>
          <w:color w:val="auto"/>
          <w:sz w:val="24"/>
          <w:szCs w:val="24"/>
        </w:rPr>
        <w:t>）環境負荷低減チェックシートについて</w:t>
      </w:r>
    </w:p>
    <w:p w14:paraId="03666E66" w14:textId="77777777" w:rsidR="007E0B63" w:rsidRPr="007E0B63" w:rsidRDefault="007E0B63" w:rsidP="007E0B63">
      <w:pPr>
        <w:spacing w:line="339" w:lineRule="exact"/>
        <w:ind w:leftChars="250" w:left="707" w:firstLineChars="117" w:firstLine="284"/>
        <w:rPr>
          <w:rFonts w:hAnsi="ＭＳ ゴシック" w:hint="default"/>
          <w:color w:val="auto"/>
          <w:sz w:val="24"/>
          <w:szCs w:val="24"/>
        </w:rPr>
      </w:pPr>
      <w:r w:rsidRPr="007E0B63">
        <w:rPr>
          <w:rFonts w:hAnsi="ＭＳ ゴシック"/>
          <w:color w:val="auto"/>
          <w:sz w:val="24"/>
          <w:szCs w:val="24"/>
        </w:rPr>
        <w:t>「みどりの食料システム戦略」において、政策手法のグリーン化の取組として、</w:t>
      </w:r>
      <w:r w:rsidRPr="007E0B63">
        <w:rPr>
          <w:rFonts w:hAnsi="ＭＳ ゴシック" w:hint="default"/>
          <w:color w:val="auto"/>
          <w:sz w:val="24"/>
          <w:szCs w:val="24"/>
        </w:rPr>
        <w:t xml:space="preserve">2030年までに施策の支援対象を持続可能な食料・農林水産業を行う者へ集中していくことを目指すとともに、補助金拡充、環境負荷低減メニューの充実、これらとセットでのクロスコンプライアンス要件の充実を図ることとされました。 </w:t>
      </w:r>
    </w:p>
    <w:p w14:paraId="0BA5F9BA" w14:textId="77777777" w:rsidR="007E0B63" w:rsidRPr="007E0B63" w:rsidRDefault="007E0B63" w:rsidP="007E0B63">
      <w:pPr>
        <w:spacing w:line="339" w:lineRule="exact"/>
        <w:ind w:leftChars="250" w:left="707" w:firstLineChars="117" w:firstLine="284"/>
        <w:rPr>
          <w:rFonts w:hAnsi="ＭＳ ゴシック" w:hint="default"/>
          <w:color w:val="auto"/>
          <w:sz w:val="24"/>
          <w:szCs w:val="24"/>
        </w:rPr>
      </w:pPr>
      <w:r w:rsidRPr="007E0B63">
        <w:rPr>
          <w:rFonts w:hAnsi="ＭＳ ゴシック"/>
          <w:color w:val="auto"/>
          <w:sz w:val="24"/>
          <w:szCs w:val="24"/>
        </w:rPr>
        <w:t>農林水産省では、令和</w:t>
      </w:r>
      <w:r w:rsidRPr="007E0B63">
        <w:rPr>
          <w:rFonts w:hAnsi="ＭＳ ゴシック" w:hint="default"/>
          <w:color w:val="auto"/>
          <w:sz w:val="24"/>
          <w:szCs w:val="24"/>
        </w:rPr>
        <w:t>6～8年度の試行実施を経て、全ての補助事業等に対して、最低限行うべき環境負荷低減の取組の実践を義務化する「クロスコンプライアンス」を導入することとし、これにより、農林水産省の補助金等の交付を受ける場合には、環境負荷低減の取組の実践が必須となります。</w:t>
      </w:r>
    </w:p>
    <w:p w14:paraId="5976B54E" w14:textId="77777777" w:rsidR="007E0B63" w:rsidRDefault="007E0B63" w:rsidP="007E0B63">
      <w:pPr>
        <w:spacing w:line="339" w:lineRule="exact"/>
        <w:ind w:leftChars="250" w:left="707" w:firstLineChars="117" w:firstLine="284"/>
        <w:rPr>
          <w:rFonts w:hAnsi="ＭＳ ゴシック" w:hint="default"/>
          <w:color w:val="auto"/>
          <w:sz w:val="24"/>
          <w:szCs w:val="24"/>
        </w:rPr>
      </w:pPr>
      <w:r w:rsidRPr="007E0B63">
        <w:rPr>
          <w:rFonts w:hAnsi="ＭＳ ゴシック"/>
          <w:color w:val="auto"/>
          <w:sz w:val="24"/>
          <w:szCs w:val="24"/>
        </w:rPr>
        <w:t>クロスコンプライアンスの実施に当たっては、取組内容をチェックシート等で提出することとなります。</w:t>
      </w:r>
    </w:p>
    <w:p w14:paraId="7366F770" w14:textId="3C8EEF79" w:rsidR="007E0B63" w:rsidRPr="007E0B63" w:rsidRDefault="007E0B63" w:rsidP="007E0B63">
      <w:pPr>
        <w:spacing w:line="339" w:lineRule="exact"/>
        <w:ind w:leftChars="250" w:left="707" w:firstLineChars="117" w:firstLine="284"/>
        <w:rPr>
          <w:rFonts w:hAnsi="ＭＳ ゴシック" w:hint="default"/>
          <w:color w:val="auto"/>
          <w:sz w:val="24"/>
          <w:szCs w:val="24"/>
          <w:u w:val="single"/>
        </w:rPr>
      </w:pPr>
      <w:r w:rsidRPr="007E0B63">
        <w:rPr>
          <w:rFonts w:hAnsi="ＭＳ ゴシック"/>
          <w:color w:val="auto"/>
          <w:sz w:val="24"/>
          <w:szCs w:val="24"/>
          <w:u w:val="single"/>
        </w:rPr>
        <w:t>今後、「緑の雇用」事業における環境負荷低減チェックシートを配布する予定です。</w:t>
      </w:r>
      <w:r w:rsidR="00270C02">
        <w:rPr>
          <w:rFonts w:hAnsi="ＭＳ ゴシック"/>
          <w:color w:val="auto"/>
          <w:sz w:val="24"/>
          <w:szCs w:val="24"/>
          <w:u w:val="single"/>
        </w:rPr>
        <w:t>（予備）</w:t>
      </w:r>
      <w:bookmarkStart w:id="0" w:name="_GoBack"/>
      <w:bookmarkEnd w:id="0"/>
      <w:r w:rsidRPr="007E0B63">
        <w:rPr>
          <w:rFonts w:hAnsi="ＭＳ ゴシック"/>
          <w:color w:val="auto"/>
          <w:sz w:val="24"/>
          <w:szCs w:val="24"/>
          <w:u w:val="single"/>
        </w:rPr>
        <w:t>登録申請をする経営体につきましては、後日、同チェックシートをご提出いただくことになりますので、予めご承知おきください。</w:t>
      </w:r>
    </w:p>
    <w:p w14:paraId="7FC46C5E" w14:textId="77777777" w:rsidR="009F3BA3" w:rsidRPr="009F3BA3" w:rsidRDefault="009F3BA3" w:rsidP="009F3BA3">
      <w:pPr>
        <w:spacing w:line="339" w:lineRule="exact"/>
        <w:rPr>
          <w:rFonts w:hAnsi="ＭＳ ゴシック" w:hint="default"/>
          <w:color w:val="auto"/>
          <w:sz w:val="24"/>
          <w:szCs w:val="24"/>
        </w:rPr>
      </w:pPr>
    </w:p>
    <w:p w14:paraId="1E311957" w14:textId="7FA60B34" w:rsidR="007477B4" w:rsidRPr="009F3BA3" w:rsidRDefault="007477B4" w:rsidP="007477B4">
      <w:pPr>
        <w:spacing w:line="339" w:lineRule="exact"/>
        <w:rPr>
          <w:rFonts w:hAnsi="ＭＳ ゴシック" w:hint="default"/>
          <w:color w:val="auto"/>
        </w:rPr>
      </w:pPr>
    </w:p>
    <w:p w14:paraId="6DA57E35" w14:textId="7BFA65DA" w:rsidR="007477B4" w:rsidRPr="009F3BA3" w:rsidRDefault="007477B4" w:rsidP="007477B4">
      <w:pPr>
        <w:pStyle w:val="a7"/>
        <w:spacing w:line="339" w:lineRule="exact"/>
        <w:ind w:leftChars="0" w:left="1346"/>
        <w:jc w:val="right"/>
        <w:rPr>
          <w:rFonts w:hAnsi="ＭＳ ゴシック" w:hint="default"/>
          <w:color w:val="auto"/>
          <w:sz w:val="24"/>
        </w:rPr>
      </w:pPr>
      <w:r w:rsidRPr="009F3BA3">
        <w:rPr>
          <w:rFonts w:hAnsi="ＭＳ ゴシック"/>
          <w:color w:val="auto"/>
          <w:sz w:val="24"/>
        </w:rPr>
        <w:t>以上</w:t>
      </w:r>
    </w:p>
    <w:sectPr w:rsidR="007477B4" w:rsidRPr="009F3BA3" w:rsidSect="00630F16">
      <w:footnotePr>
        <w:numRestart w:val="eachPage"/>
      </w:footnotePr>
      <w:endnotePr>
        <w:numFmt w:val="decimal"/>
      </w:endnotePr>
      <w:pgSz w:w="11906" w:h="16838" w:code="9"/>
      <w:pgMar w:top="1702" w:right="1418" w:bottom="1134" w:left="1418" w:header="1134" w:footer="0" w:gutter="0"/>
      <w:cols w:space="720"/>
      <w:docGrid w:type="linesAndChars" w:linePitch="388" w:charSpace="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E1028" w14:textId="77777777" w:rsidR="00C65D55" w:rsidRDefault="00C65D55">
      <w:pPr>
        <w:spacing w:before="287"/>
        <w:rPr>
          <w:rFonts w:hint="default"/>
        </w:rPr>
      </w:pPr>
      <w:r>
        <w:continuationSeparator/>
      </w:r>
    </w:p>
  </w:endnote>
  <w:endnote w:type="continuationSeparator" w:id="0">
    <w:p w14:paraId="2FF2880C" w14:textId="77777777" w:rsidR="00C65D55" w:rsidRDefault="00C65D55">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0255A" w14:textId="77777777" w:rsidR="00C65D55" w:rsidRDefault="00C65D55">
      <w:pPr>
        <w:spacing w:before="287"/>
        <w:rPr>
          <w:rFonts w:hint="default"/>
        </w:rPr>
      </w:pPr>
      <w:r>
        <w:continuationSeparator/>
      </w:r>
    </w:p>
  </w:footnote>
  <w:footnote w:type="continuationSeparator" w:id="0">
    <w:p w14:paraId="03D34A44" w14:textId="77777777" w:rsidR="00C65D55" w:rsidRDefault="00C65D55">
      <w:pPr>
        <w:spacing w:before="2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2794"/>
    <w:multiLevelType w:val="hybridMultilevel"/>
    <w:tmpl w:val="37F892F4"/>
    <w:lvl w:ilvl="0" w:tplc="E69802E4">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2A430389"/>
    <w:multiLevelType w:val="hybridMultilevel"/>
    <w:tmpl w:val="E7C878CE"/>
    <w:lvl w:ilvl="0" w:tplc="D8781F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A2DD8"/>
    <w:multiLevelType w:val="hybridMultilevel"/>
    <w:tmpl w:val="1960E5BC"/>
    <w:lvl w:ilvl="0" w:tplc="255CAEC4">
      <w:numFmt w:val="bullet"/>
      <w:lvlText w:val="・"/>
      <w:lvlJc w:val="left"/>
      <w:pPr>
        <w:ind w:left="502" w:hanging="360"/>
      </w:pPr>
      <w:rPr>
        <w:rFonts w:ascii="ＭＳ ゴシック" w:eastAsia="ＭＳ ゴシック" w:hAnsi="ＭＳ 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58962B42"/>
    <w:multiLevelType w:val="hybridMultilevel"/>
    <w:tmpl w:val="71C2B61C"/>
    <w:lvl w:ilvl="0" w:tplc="04090011">
      <w:start w:val="1"/>
      <w:numFmt w:val="decimalEnclosedCircle"/>
      <w:lvlText w:val="%1"/>
      <w:lvlJc w:val="left"/>
      <w:pPr>
        <w:ind w:left="1346" w:hanging="420"/>
      </w:p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4" w15:restartNumberingAfterBreak="0">
    <w:nsid w:val="5CDD57E3"/>
    <w:multiLevelType w:val="hybridMultilevel"/>
    <w:tmpl w:val="EFC61E0A"/>
    <w:lvl w:ilvl="0" w:tplc="92B815CE">
      <w:numFmt w:val="bullet"/>
      <w:lvlText w:val="◇"/>
      <w:lvlJc w:val="left"/>
      <w:pPr>
        <w:ind w:left="643" w:hanging="360"/>
      </w:pPr>
      <w:rPr>
        <w:rFonts w:ascii="ＭＳ ゴシック" w:eastAsia="ＭＳ ゴシック" w:hAnsi="ＭＳ ゴシック"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62940257"/>
    <w:multiLevelType w:val="hybridMultilevel"/>
    <w:tmpl w:val="D4A0A43E"/>
    <w:lvl w:ilvl="0" w:tplc="95FA4080">
      <w:numFmt w:val="bullet"/>
      <w:lvlText w:val="・"/>
      <w:lvlJc w:val="left"/>
      <w:pPr>
        <w:ind w:left="643" w:hanging="360"/>
      </w:pPr>
      <w:rPr>
        <w:rFonts w:ascii="ＭＳ ゴシック" w:eastAsia="ＭＳ ゴシック" w:hAnsi="ＭＳ ゴシック" w:cs="ＭＳ 明朝" w:hint="eastAsia"/>
        <w:sz w:val="28"/>
        <w:u w:val="single"/>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706D51B0"/>
    <w:multiLevelType w:val="hybridMultilevel"/>
    <w:tmpl w:val="32DEF0F2"/>
    <w:lvl w:ilvl="0" w:tplc="04090011">
      <w:start w:val="1"/>
      <w:numFmt w:val="decimalEnclosedCircle"/>
      <w:lvlText w:val="%1"/>
      <w:lvlJc w:val="left"/>
      <w:pPr>
        <w:ind w:left="1346" w:hanging="420"/>
      </w:p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7" w15:restartNumberingAfterBreak="0">
    <w:nsid w:val="752B3708"/>
    <w:multiLevelType w:val="hybridMultilevel"/>
    <w:tmpl w:val="931C472C"/>
    <w:lvl w:ilvl="0" w:tplc="5EDA6664">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num w:numId="1">
    <w:abstractNumId w:val="2"/>
  </w:num>
  <w:num w:numId="2">
    <w:abstractNumId w:val="5"/>
  </w:num>
  <w:num w:numId="3">
    <w:abstractNumId w:val="1"/>
  </w:num>
  <w:num w:numId="4">
    <w:abstractNumId w:val="4"/>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133"/>
  <w:hyphenationZone w:val="0"/>
  <w:drawingGridHorizontalSpacing w:val="499"/>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5B"/>
    <w:rsid w:val="00010283"/>
    <w:rsid w:val="000162EB"/>
    <w:rsid w:val="00022738"/>
    <w:rsid w:val="000246AA"/>
    <w:rsid w:val="00035A5B"/>
    <w:rsid w:val="00050664"/>
    <w:rsid w:val="00054894"/>
    <w:rsid w:val="00066041"/>
    <w:rsid w:val="0008326F"/>
    <w:rsid w:val="000B5EB9"/>
    <w:rsid w:val="000C74B8"/>
    <w:rsid w:val="000D083D"/>
    <w:rsid w:val="000D2ED9"/>
    <w:rsid w:val="000E3571"/>
    <w:rsid w:val="000F07BA"/>
    <w:rsid w:val="00122493"/>
    <w:rsid w:val="001245B6"/>
    <w:rsid w:val="00125BB6"/>
    <w:rsid w:val="00145FB2"/>
    <w:rsid w:val="00146656"/>
    <w:rsid w:val="001A6C98"/>
    <w:rsid w:val="001C4CEC"/>
    <w:rsid w:val="002122DE"/>
    <w:rsid w:val="00213523"/>
    <w:rsid w:val="002137CB"/>
    <w:rsid w:val="002274EB"/>
    <w:rsid w:val="00270C02"/>
    <w:rsid w:val="00291F8F"/>
    <w:rsid w:val="00294337"/>
    <w:rsid w:val="00301A89"/>
    <w:rsid w:val="00330E1C"/>
    <w:rsid w:val="00332C4F"/>
    <w:rsid w:val="00345A80"/>
    <w:rsid w:val="003C267D"/>
    <w:rsid w:val="003E0DC4"/>
    <w:rsid w:val="003E7447"/>
    <w:rsid w:val="004060A4"/>
    <w:rsid w:val="0041706F"/>
    <w:rsid w:val="00464AE7"/>
    <w:rsid w:val="004F5352"/>
    <w:rsid w:val="00501ED8"/>
    <w:rsid w:val="00511756"/>
    <w:rsid w:val="00537B1B"/>
    <w:rsid w:val="0056077B"/>
    <w:rsid w:val="00564D08"/>
    <w:rsid w:val="0059256B"/>
    <w:rsid w:val="005944CB"/>
    <w:rsid w:val="005A59DB"/>
    <w:rsid w:val="005C4AD1"/>
    <w:rsid w:val="00630F16"/>
    <w:rsid w:val="00645333"/>
    <w:rsid w:val="00651B87"/>
    <w:rsid w:val="00654D6E"/>
    <w:rsid w:val="0067242B"/>
    <w:rsid w:val="00696FAA"/>
    <w:rsid w:val="006C20FF"/>
    <w:rsid w:val="006D20CC"/>
    <w:rsid w:val="006F0B48"/>
    <w:rsid w:val="006F1D37"/>
    <w:rsid w:val="00704D68"/>
    <w:rsid w:val="00721348"/>
    <w:rsid w:val="00726BA8"/>
    <w:rsid w:val="007477B4"/>
    <w:rsid w:val="00776A3C"/>
    <w:rsid w:val="00777278"/>
    <w:rsid w:val="0078785D"/>
    <w:rsid w:val="007A43E3"/>
    <w:rsid w:val="007B21E9"/>
    <w:rsid w:val="007B38BD"/>
    <w:rsid w:val="007C37DC"/>
    <w:rsid w:val="007E0B63"/>
    <w:rsid w:val="007F13FC"/>
    <w:rsid w:val="00803057"/>
    <w:rsid w:val="00804257"/>
    <w:rsid w:val="0080678D"/>
    <w:rsid w:val="00814F40"/>
    <w:rsid w:val="00870D2E"/>
    <w:rsid w:val="00885227"/>
    <w:rsid w:val="00896621"/>
    <w:rsid w:val="008A7839"/>
    <w:rsid w:val="008D4EB6"/>
    <w:rsid w:val="008E7188"/>
    <w:rsid w:val="00923CCA"/>
    <w:rsid w:val="00926B8E"/>
    <w:rsid w:val="00927EFB"/>
    <w:rsid w:val="00936D44"/>
    <w:rsid w:val="0096176F"/>
    <w:rsid w:val="009638D6"/>
    <w:rsid w:val="00963E6C"/>
    <w:rsid w:val="009A28EB"/>
    <w:rsid w:val="009C20A1"/>
    <w:rsid w:val="009D4934"/>
    <w:rsid w:val="009F3BA3"/>
    <w:rsid w:val="00A453F8"/>
    <w:rsid w:val="00A55AB0"/>
    <w:rsid w:val="00A71155"/>
    <w:rsid w:val="00AB393C"/>
    <w:rsid w:val="00AC1BC7"/>
    <w:rsid w:val="00AC5B79"/>
    <w:rsid w:val="00AE371D"/>
    <w:rsid w:val="00AE78B7"/>
    <w:rsid w:val="00AF61AC"/>
    <w:rsid w:val="00B10D6D"/>
    <w:rsid w:val="00B47AA6"/>
    <w:rsid w:val="00B65689"/>
    <w:rsid w:val="00B74273"/>
    <w:rsid w:val="00B87A4D"/>
    <w:rsid w:val="00BA4149"/>
    <w:rsid w:val="00BA4EB3"/>
    <w:rsid w:val="00BD27C2"/>
    <w:rsid w:val="00C0754E"/>
    <w:rsid w:val="00C33491"/>
    <w:rsid w:val="00C338DE"/>
    <w:rsid w:val="00C526D7"/>
    <w:rsid w:val="00C55414"/>
    <w:rsid w:val="00C65D55"/>
    <w:rsid w:val="00C93D63"/>
    <w:rsid w:val="00CA46D3"/>
    <w:rsid w:val="00CA4B94"/>
    <w:rsid w:val="00CD463B"/>
    <w:rsid w:val="00CE5353"/>
    <w:rsid w:val="00D02223"/>
    <w:rsid w:val="00D165A0"/>
    <w:rsid w:val="00D41FF0"/>
    <w:rsid w:val="00D42F94"/>
    <w:rsid w:val="00D455E8"/>
    <w:rsid w:val="00D67DD9"/>
    <w:rsid w:val="00DB0F32"/>
    <w:rsid w:val="00DF0D5F"/>
    <w:rsid w:val="00DF4928"/>
    <w:rsid w:val="00E276B5"/>
    <w:rsid w:val="00E36E3C"/>
    <w:rsid w:val="00E41BFD"/>
    <w:rsid w:val="00E5266D"/>
    <w:rsid w:val="00E54238"/>
    <w:rsid w:val="00E60D8B"/>
    <w:rsid w:val="00E67A01"/>
    <w:rsid w:val="00E75D0E"/>
    <w:rsid w:val="00E917F2"/>
    <w:rsid w:val="00EB1A75"/>
    <w:rsid w:val="00ED2A79"/>
    <w:rsid w:val="00ED7125"/>
    <w:rsid w:val="00F623B8"/>
    <w:rsid w:val="00F77888"/>
    <w:rsid w:val="00FA4E5C"/>
    <w:rsid w:val="00FD0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17DDD75"/>
  <w15:docId w15:val="{6AA8665E-71B4-445E-AD9E-67775AEF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EFB"/>
    <w:pPr>
      <w:widowControl w:val="0"/>
      <w:overflowPunct w:val="0"/>
      <w:jc w:val="both"/>
      <w:textAlignment w:val="baseline"/>
    </w:pPr>
    <w:rPr>
      <w:rFonts w:ascii="ＭＳ ゴシック" w:eastAsia="ＭＳ ゴシック"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header"/>
    <w:basedOn w:val="a"/>
    <w:link w:val="a4"/>
    <w:uiPriority w:val="99"/>
    <w:unhideWhenUsed/>
    <w:rsid w:val="00814F40"/>
    <w:pPr>
      <w:tabs>
        <w:tab w:val="center" w:pos="4252"/>
        <w:tab w:val="right" w:pos="8504"/>
      </w:tabs>
      <w:snapToGrid w:val="0"/>
    </w:pPr>
  </w:style>
  <w:style w:type="character" w:customStyle="1" w:styleId="a4">
    <w:name w:val="ヘッダー (文字)"/>
    <w:link w:val="a3"/>
    <w:uiPriority w:val="99"/>
    <w:rsid w:val="00814F40"/>
    <w:rPr>
      <w:color w:val="000000"/>
      <w:sz w:val="28"/>
    </w:rPr>
  </w:style>
  <w:style w:type="paragraph" w:styleId="a5">
    <w:name w:val="footer"/>
    <w:basedOn w:val="a"/>
    <w:link w:val="a6"/>
    <w:uiPriority w:val="99"/>
    <w:unhideWhenUsed/>
    <w:rsid w:val="00814F40"/>
    <w:pPr>
      <w:tabs>
        <w:tab w:val="center" w:pos="4252"/>
        <w:tab w:val="right" w:pos="8504"/>
      </w:tabs>
      <w:snapToGrid w:val="0"/>
    </w:pPr>
  </w:style>
  <w:style w:type="character" w:customStyle="1" w:styleId="a6">
    <w:name w:val="フッター (文字)"/>
    <w:link w:val="a5"/>
    <w:uiPriority w:val="99"/>
    <w:rsid w:val="00814F40"/>
    <w:rPr>
      <w:color w:val="000000"/>
      <w:sz w:val="28"/>
    </w:rPr>
  </w:style>
  <w:style w:type="paragraph" w:styleId="a7">
    <w:name w:val="List Paragraph"/>
    <w:basedOn w:val="a"/>
    <w:uiPriority w:val="34"/>
    <w:qFormat/>
    <w:rsid w:val="00776A3C"/>
    <w:pPr>
      <w:ind w:leftChars="400" w:left="840"/>
    </w:pPr>
  </w:style>
  <w:style w:type="paragraph" w:styleId="a8">
    <w:name w:val="Balloon Text"/>
    <w:basedOn w:val="a"/>
    <w:link w:val="a9"/>
    <w:uiPriority w:val="99"/>
    <w:semiHidden/>
    <w:unhideWhenUsed/>
    <w:rsid w:val="00927EFB"/>
    <w:rPr>
      <w:rFonts w:ascii="Arial" w:hAnsi="Arial" w:cs="Times New Roman"/>
      <w:sz w:val="18"/>
      <w:szCs w:val="18"/>
    </w:rPr>
  </w:style>
  <w:style w:type="character" w:customStyle="1" w:styleId="a9">
    <w:name w:val="吹き出し (文字)"/>
    <w:link w:val="a8"/>
    <w:uiPriority w:val="99"/>
    <w:semiHidden/>
    <w:rsid w:val="00927EF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1468</Words>
  <Characters>85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飯田 裕一</dc:creator>
  <cp:lastModifiedBy>全森　花岡 若奈</cp:lastModifiedBy>
  <cp:revision>27</cp:revision>
  <cp:lastPrinted>2024-02-13T01:35:00Z</cp:lastPrinted>
  <dcterms:created xsi:type="dcterms:W3CDTF">2021-02-05T08:07:00Z</dcterms:created>
  <dcterms:modified xsi:type="dcterms:W3CDTF">2024-02-13T02:35:00Z</dcterms:modified>
</cp:coreProperties>
</file>